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Use the links below to research the different types of ADR in your groups. Ensure you divide the research. REMEMBER: you </w:t>
      </w:r>
      <w:r w:rsidDel="00000000" w:rsidR="00000000" w:rsidRPr="00000000">
        <w:rPr>
          <w:rFonts w:ascii="Calibri" w:cs="Calibri" w:eastAsia="Calibri" w:hAnsi="Calibri"/>
          <w:u w:val="single"/>
          <w:rtl w:val="0"/>
        </w:rPr>
        <w:t xml:space="preserve">ALL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must have a role.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055"/>
        <w:gridCol w:w="6945"/>
        <w:tblGridChange w:id="0">
          <w:tblGrid>
            <w:gridCol w:w="2055"/>
            <w:gridCol w:w="6945"/>
          </w:tblGrid>
        </w:tblGridChange>
      </w:tblGrid>
      <w:tr>
        <w:trPr>
          <w:trHeight w:val="420" w:hRule="atLeast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rPr>
                <w:rFonts w:ascii="Lobster" w:cs="Lobster" w:eastAsia="Lobster" w:hAnsi="Lobster"/>
                <w:sz w:val="28"/>
                <w:szCs w:val="28"/>
              </w:rPr>
            </w:pPr>
            <w:r w:rsidDel="00000000" w:rsidR="00000000" w:rsidRPr="00000000">
              <w:rPr>
                <w:rFonts w:ascii="Lobster" w:cs="Lobster" w:eastAsia="Lobster" w:hAnsi="Lobster"/>
                <w:sz w:val="28"/>
                <w:szCs w:val="28"/>
                <w:rtl w:val="0"/>
              </w:rPr>
              <w:t xml:space="preserve">Tribunals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rPr>
                <w:rFonts w:ascii="Calibri" w:cs="Calibri" w:eastAsia="Calibri" w:hAnsi="Calibri"/>
                <w:sz w:val="24"/>
                <w:szCs w:val="24"/>
              </w:rPr>
            </w:pPr>
            <w:hyperlink r:id="rId6">
              <w:r w:rsidDel="00000000" w:rsidR="00000000" w:rsidRPr="00000000">
                <w:rPr>
                  <w:rFonts w:ascii="Calibri" w:cs="Calibri" w:eastAsia="Calibri" w:hAnsi="Calibri"/>
                  <w:color w:val="1155cc"/>
                  <w:sz w:val="24"/>
                  <w:szCs w:val="24"/>
                  <w:u w:val="single"/>
                  <w:rtl w:val="0"/>
                </w:rPr>
                <w:t xml:space="preserve">https://www.judiciary.uk/about-the-judiciary/who-are-the-judiciary/judicial-roles/tribunals/tribunals/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rPr>
                <w:rFonts w:ascii="Lobster" w:cs="Lobster" w:eastAsia="Lobster" w:hAnsi="Lobster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rPr>
                <w:rFonts w:ascii="Calibri" w:cs="Calibri" w:eastAsia="Calibri" w:hAnsi="Calibri"/>
                <w:sz w:val="24"/>
                <w:szCs w:val="24"/>
              </w:rPr>
            </w:pPr>
            <w:hyperlink r:id="rId7">
              <w:r w:rsidDel="00000000" w:rsidR="00000000" w:rsidRPr="00000000">
                <w:rPr>
                  <w:rFonts w:ascii="Calibri" w:cs="Calibri" w:eastAsia="Calibri" w:hAnsi="Calibri"/>
                  <w:color w:val="1155cc"/>
                  <w:sz w:val="24"/>
                  <w:szCs w:val="24"/>
                  <w:u w:val="single"/>
                  <w:rtl w:val="0"/>
                </w:rPr>
                <w:t xml:space="preserve">https://www.thestudentroom.co.uk/revision/law/tribunals-and-appeals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rPr>
                <w:rFonts w:ascii="Lobster" w:cs="Lobster" w:eastAsia="Lobster" w:hAnsi="Lobster"/>
                <w:sz w:val="28"/>
                <w:szCs w:val="28"/>
              </w:rPr>
            </w:pPr>
            <w:r w:rsidDel="00000000" w:rsidR="00000000" w:rsidRPr="00000000">
              <w:rPr>
                <w:rFonts w:ascii="Lobster" w:cs="Lobster" w:eastAsia="Lobster" w:hAnsi="Lobster"/>
                <w:sz w:val="28"/>
                <w:szCs w:val="28"/>
                <w:rtl w:val="0"/>
              </w:rPr>
              <w:t xml:space="preserve">Arbitration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rPr>
                <w:rFonts w:ascii="Calibri" w:cs="Calibri" w:eastAsia="Calibri" w:hAnsi="Calibri"/>
                <w:sz w:val="24"/>
                <w:szCs w:val="24"/>
              </w:rPr>
            </w:pPr>
            <w:hyperlink r:id="rId8">
              <w:r w:rsidDel="00000000" w:rsidR="00000000" w:rsidRPr="00000000">
                <w:rPr>
                  <w:rFonts w:ascii="Calibri" w:cs="Calibri" w:eastAsia="Calibri" w:hAnsi="Calibri"/>
                  <w:color w:val="1155cc"/>
                  <w:sz w:val="24"/>
                  <w:szCs w:val="24"/>
                  <w:u w:val="single"/>
                  <w:rtl w:val="0"/>
                </w:rPr>
                <w:t xml:space="preserve">https://www.acas.org.uk/arbitration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rPr>
                <w:rFonts w:ascii="Calibri" w:cs="Calibri" w:eastAsia="Calibri" w:hAnsi="Calibri"/>
                <w:sz w:val="24"/>
                <w:szCs w:val="24"/>
              </w:rPr>
            </w:pPr>
            <w:hyperlink r:id="rId9">
              <w:r w:rsidDel="00000000" w:rsidR="00000000" w:rsidRPr="00000000">
                <w:rPr>
                  <w:rFonts w:ascii="Calibri" w:cs="Calibri" w:eastAsia="Calibri" w:hAnsi="Calibri"/>
                  <w:color w:val="1155cc"/>
                  <w:sz w:val="24"/>
                  <w:szCs w:val="24"/>
                  <w:u w:val="single"/>
                  <w:rtl w:val="0"/>
                </w:rPr>
                <w:t xml:space="preserve">https://www.citizensadvice.org.uk/scotland/law-and-courts/legal-system-s/settling-out-of-court/how-an-arbitrator-decides-the-outcome-of-a-consumer-complaint-s/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rPr>
                <w:rFonts w:ascii="Calibri" w:cs="Calibri" w:eastAsia="Calibri" w:hAnsi="Calibri"/>
                <w:sz w:val="24"/>
                <w:szCs w:val="24"/>
              </w:rPr>
            </w:pPr>
            <w:hyperlink r:id="rId10">
              <w:r w:rsidDel="00000000" w:rsidR="00000000" w:rsidRPr="00000000">
                <w:rPr>
                  <w:rFonts w:ascii="Calibri" w:cs="Calibri" w:eastAsia="Calibri" w:hAnsi="Calibri"/>
                  <w:color w:val="1155cc"/>
                  <w:sz w:val="24"/>
                  <w:szCs w:val="24"/>
                  <w:u w:val="single"/>
                  <w:rtl w:val="0"/>
                </w:rPr>
                <w:t xml:space="preserve">https://www.mylawyer.co.uk/mediation-conciliation-and-arbitration-a-A76056D76241/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rPr>
                <w:rFonts w:ascii="Calibri" w:cs="Calibri" w:eastAsia="Calibri" w:hAnsi="Calibri"/>
                <w:sz w:val="24"/>
                <w:szCs w:val="24"/>
              </w:rPr>
            </w:pPr>
            <w:hyperlink r:id="rId11">
              <w:r w:rsidDel="00000000" w:rsidR="00000000" w:rsidRPr="00000000">
                <w:rPr>
                  <w:rFonts w:ascii="Calibri" w:cs="Calibri" w:eastAsia="Calibri" w:hAnsi="Calibri"/>
                  <w:color w:val="1155cc"/>
                  <w:sz w:val="24"/>
                  <w:szCs w:val="24"/>
                  <w:u w:val="single"/>
                  <w:rtl w:val="0"/>
                </w:rPr>
                <w:t xml:space="preserve">https://www.porterdodson.co.uk/alternative-dispute-resolution-solicitors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rPr>
                <w:rFonts w:ascii="Lobster" w:cs="Lobster" w:eastAsia="Lobster" w:hAnsi="Lobster"/>
                <w:sz w:val="28"/>
                <w:szCs w:val="28"/>
              </w:rPr>
            </w:pPr>
            <w:r w:rsidDel="00000000" w:rsidR="00000000" w:rsidRPr="00000000">
              <w:rPr>
                <w:rFonts w:ascii="Lobster" w:cs="Lobster" w:eastAsia="Lobster" w:hAnsi="Lobster"/>
                <w:sz w:val="28"/>
                <w:szCs w:val="28"/>
                <w:rtl w:val="0"/>
              </w:rPr>
              <w:t xml:space="preserve">Conciliation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rPr>
                <w:rFonts w:ascii="Calibri" w:cs="Calibri" w:eastAsia="Calibri" w:hAnsi="Calibri"/>
                <w:sz w:val="24"/>
                <w:szCs w:val="24"/>
              </w:rPr>
            </w:pPr>
            <w:hyperlink r:id="rId12">
              <w:r w:rsidDel="00000000" w:rsidR="00000000" w:rsidRPr="00000000">
                <w:rPr>
                  <w:rFonts w:ascii="Calibri" w:cs="Calibri" w:eastAsia="Calibri" w:hAnsi="Calibri"/>
                  <w:color w:val="1155cc"/>
                  <w:sz w:val="24"/>
                  <w:szCs w:val="24"/>
                  <w:u w:val="single"/>
                  <w:rtl w:val="0"/>
                </w:rPr>
                <w:t xml:space="preserve">https://www.mylawyer.co.uk/mediation-conciliation-and-arbitration-a-A76056D76241/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rPr>
                <w:rFonts w:ascii="Calibri" w:cs="Calibri" w:eastAsia="Calibri" w:hAnsi="Calibri"/>
                <w:sz w:val="24"/>
                <w:szCs w:val="24"/>
              </w:rPr>
            </w:pPr>
            <w:hyperlink r:id="rId13">
              <w:r w:rsidDel="00000000" w:rsidR="00000000" w:rsidRPr="00000000">
                <w:rPr>
                  <w:rFonts w:ascii="Calibri" w:cs="Calibri" w:eastAsia="Calibri" w:hAnsi="Calibri"/>
                  <w:color w:val="1155cc"/>
                  <w:sz w:val="24"/>
                  <w:szCs w:val="24"/>
                  <w:u w:val="single"/>
                  <w:rtl w:val="0"/>
                </w:rPr>
                <w:t xml:space="preserve">https://www.jmw.co.uk/services-for-business/commercial-litigation-dispute-resolution/alternative-dispute-resolution/conciliation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rPr>
                <w:rFonts w:ascii="Calibri" w:cs="Calibri" w:eastAsia="Calibri" w:hAnsi="Calibri"/>
                <w:sz w:val="24"/>
                <w:szCs w:val="24"/>
              </w:rPr>
            </w:pPr>
            <w:hyperlink r:id="rId14">
              <w:r w:rsidDel="00000000" w:rsidR="00000000" w:rsidRPr="00000000">
                <w:rPr>
                  <w:rFonts w:ascii="Calibri" w:cs="Calibri" w:eastAsia="Calibri" w:hAnsi="Calibri"/>
                  <w:color w:val="1155cc"/>
                  <w:sz w:val="24"/>
                  <w:szCs w:val="24"/>
                  <w:u w:val="single"/>
                  <w:rtl w:val="0"/>
                </w:rPr>
                <w:t xml:space="preserve">https://www.porterdodson.co.uk/alternative-dispute-resolution-solicitors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rPr>
                <w:rFonts w:ascii="Lobster" w:cs="Lobster" w:eastAsia="Lobster" w:hAnsi="Lobster"/>
                <w:sz w:val="28"/>
                <w:szCs w:val="28"/>
              </w:rPr>
            </w:pPr>
            <w:r w:rsidDel="00000000" w:rsidR="00000000" w:rsidRPr="00000000">
              <w:rPr>
                <w:rFonts w:ascii="Lobster" w:cs="Lobster" w:eastAsia="Lobster" w:hAnsi="Lobster"/>
                <w:sz w:val="28"/>
                <w:szCs w:val="28"/>
                <w:rtl w:val="0"/>
              </w:rPr>
              <w:t xml:space="preserve">Mediation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rPr>
                <w:rFonts w:ascii="Calibri" w:cs="Calibri" w:eastAsia="Calibri" w:hAnsi="Calibri"/>
                <w:sz w:val="24"/>
                <w:szCs w:val="24"/>
              </w:rPr>
            </w:pPr>
            <w:hyperlink r:id="rId15">
              <w:r w:rsidDel="00000000" w:rsidR="00000000" w:rsidRPr="00000000">
                <w:rPr>
                  <w:rFonts w:ascii="Calibri" w:cs="Calibri" w:eastAsia="Calibri" w:hAnsi="Calibri"/>
                  <w:color w:val="1155cc"/>
                  <w:sz w:val="24"/>
                  <w:szCs w:val="24"/>
                  <w:u w:val="single"/>
                  <w:rtl w:val="0"/>
                </w:rPr>
                <w:t xml:space="preserve">https://www.mylawyer.co.uk/mediation-conciliation-and-arbitration-a-A76056D76241/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after="0" w:before="0" w:line="240" w:lineRule="auto"/>
              <w:ind w:left="0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rPr>
                <w:rFonts w:ascii="Calibri" w:cs="Calibri" w:eastAsia="Calibri" w:hAnsi="Calibri"/>
                <w:sz w:val="24"/>
                <w:szCs w:val="24"/>
              </w:rPr>
            </w:pPr>
            <w:hyperlink r:id="rId16">
              <w:r w:rsidDel="00000000" w:rsidR="00000000" w:rsidRPr="00000000">
                <w:rPr>
                  <w:rFonts w:ascii="Calibri" w:cs="Calibri" w:eastAsia="Calibri" w:hAnsi="Calibri"/>
                  <w:color w:val="1155cc"/>
                  <w:sz w:val="24"/>
                  <w:szCs w:val="24"/>
                  <w:u w:val="single"/>
                  <w:rtl w:val="0"/>
                </w:rPr>
                <w:t xml:space="preserve">https://civilmediation.org/for-the-public/about-mediation/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after="0" w:before="0" w:line="240" w:lineRule="auto"/>
              <w:ind w:left="0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rPr>
                <w:rFonts w:ascii="Calibri" w:cs="Calibri" w:eastAsia="Calibri" w:hAnsi="Calibri"/>
                <w:sz w:val="24"/>
                <w:szCs w:val="24"/>
              </w:rPr>
            </w:pPr>
            <w:hyperlink r:id="rId17">
              <w:r w:rsidDel="00000000" w:rsidR="00000000" w:rsidRPr="00000000">
                <w:rPr>
                  <w:rFonts w:ascii="Calibri" w:cs="Calibri" w:eastAsia="Calibri" w:hAnsi="Calibri"/>
                  <w:color w:val="1155cc"/>
                  <w:sz w:val="24"/>
                  <w:szCs w:val="24"/>
                  <w:u w:val="single"/>
                  <w:rtl w:val="0"/>
                </w:rPr>
                <w:t xml:space="preserve">https://www.porterdodson.co.uk/alternative-dispute-resolution-solicitors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rPr>
                <w:rFonts w:ascii="Lobster" w:cs="Lobster" w:eastAsia="Lobster" w:hAnsi="Lobster"/>
                <w:sz w:val="28"/>
                <w:szCs w:val="28"/>
              </w:rPr>
            </w:pPr>
            <w:r w:rsidDel="00000000" w:rsidR="00000000" w:rsidRPr="00000000">
              <w:rPr>
                <w:rFonts w:ascii="Lobster" w:cs="Lobster" w:eastAsia="Lobster" w:hAnsi="Lobster"/>
                <w:sz w:val="28"/>
                <w:szCs w:val="28"/>
                <w:rtl w:val="0"/>
              </w:rPr>
              <w:t xml:space="preserve">Negotiation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rPr>
                <w:rFonts w:ascii="Calibri" w:cs="Calibri" w:eastAsia="Calibri" w:hAnsi="Calibri"/>
                <w:sz w:val="24"/>
                <w:szCs w:val="24"/>
              </w:rPr>
            </w:pPr>
            <w:hyperlink r:id="rId18">
              <w:r w:rsidDel="00000000" w:rsidR="00000000" w:rsidRPr="00000000">
                <w:rPr>
                  <w:rFonts w:ascii="Calibri" w:cs="Calibri" w:eastAsia="Calibri" w:hAnsi="Calibri"/>
                  <w:color w:val="1155cc"/>
                  <w:sz w:val="24"/>
                  <w:szCs w:val="24"/>
                  <w:u w:val="single"/>
                  <w:rtl w:val="0"/>
                </w:rPr>
                <w:t xml:space="preserve">https://www.porterdodson.co.uk/alternative-dispute-resolution-solicitors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b w:val="1"/>
        </w:rPr>
      </w:pPr>
      <w:r w:rsidDel="00000000" w:rsidR="00000000" w:rsidRPr="00000000">
        <w:rPr>
          <w:rtl w:val="0"/>
        </w:rPr>
      </w:r>
    </w:p>
    <w:sectPr>
      <w:headerReference r:id="rId19" w:type="default"/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Lobster">
    <w:embedRegular w:fontKey="{00000000-0000-0000-0000-000000000000}" r:id="rId1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jc w:val="center"/>
      <w:rPr>
        <w:rFonts w:ascii="Lobster" w:cs="Lobster" w:eastAsia="Lobster" w:hAnsi="Lobster"/>
        <w:sz w:val="28"/>
        <w:szCs w:val="28"/>
      </w:rPr>
    </w:pPr>
    <w:r w:rsidDel="00000000" w:rsidR="00000000" w:rsidRPr="00000000">
      <w:rPr>
        <w:rFonts w:ascii="Lobster" w:cs="Lobster" w:eastAsia="Lobster" w:hAnsi="Lobster"/>
        <w:sz w:val="28"/>
        <w:szCs w:val="28"/>
        <w:rtl w:val="0"/>
      </w:rPr>
      <w:t xml:space="preserve">Alternative Dispute Resolution (ADR)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porterdodson.co.uk/alternative-dispute-resolution-solicitors" TargetMode="External"/><Relationship Id="rId10" Type="http://schemas.openxmlformats.org/officeDocument/2006/relationships/hyperlink" Target="https://www.mylawyer.co.uk/mediation-conciliation-and-arbitration-a-A76056D76241/" TargetMode="External"/><Relationship Id="rId13" Type="http://schemas.openxmlformats.org/officeDocument/2006/relationships/hyperlink" Target="https://www.jmw.co.uk/services-for-business/commercial-litigation-dispute-resolution/alternative-dispute-resolution/conciliation" TargetMode="External"/><Relationship Id="rId12" Type="http://schemas.openxmlformats.org/officeDocument/2006/relationships/hyperlink" Target="https://www.mylawyer.co.uk/mediation-conciliation-and-arbitration-a-A76056D76241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citizensadvice.org.uk/scotland/law-and-courts/legal-system-s/settling-out-of-court/how-an-arbitrator-decides-the-outcome-of-a-consumer-complaint-s/" TargetMode="External"/><Relationship Id="rId15" Type="http://schemas.openxmlformats.org/officeDocument/2006/relationships/hyperlink" Target="https://www.mylawyer.co.uk/mediation-conciliation-and-arbitration-a-A76056D76241/" TargetMode="External"/><Relationship Id="rId14" Type="http://schemas.openxmlformats.org/officeDocument/2006/relationships/hyperlink" Target="https://www.porterdodson.co.uk/alternative-dispute-resolution-solicitors" TargetMode="External"/><Relationship Id="rId17" Type="http://schemas.openxmlformats.org/officeDocument/2006/relationships/hyperlink" Target="https://www.porterdodson.co.uk/alternative-dispute-resolution-solicitors" TargetMode="External"/><Relationship Id="rId16" Type="http://schemas.openxmlformats.org/officeDocument/2006/relationships/hyperlink" Target="https://civilmediation.org/for-the-public/about-mediation/" TargetMode="External"/><Relationship Id="rId5" Type="http://schemas.openxmlformats.org/officeDocument/2006/relationships/styles" Target="styles.xml"/><Relationship Id="rId19" Type="http://schemas.openxmlformats.org/officeDocument/2006/relationships/header" Target="header1.xml"/><Relationship Id="rId6" Type="http://schemas.openxmlformats.org/officeDocument/2006/relationships/hyperlink" Target="https://www.judiciary.uk/about-the-judiciary/who-are-the-judiciary/judicial-roles/tribunals/tribunals/" TargetMode="External"/><Relationship Id="rId18" Type="http://schemas.openxmlformats.org/officeDocument/2006/relationships/hyperlink" Target="https://www.porterdodson.co.uk/alternative-dispute-resolution-solicitors" TargetMode="External"/><Relationship Id="rId7" Type="http://schemas.openxmlformats.org/officeDocument/2006/relationships/hyperlink" Target="https://www.thestudentroom.co.uk/revision/law/tribunals-and-appeals" TargetMode="External"/><Relationship Id="rId8" Type="http://schemas.openxmlformats.org/officeDocument/2006/relationships/hyperlink" Target="https://www.acas.org.uk/arbitration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obster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